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4693" w14:textId="77777777" w:rsidR="00936E1A" w:rsidRDefault="00936E1A">
      <w:pPr>
        <w:spacing w:before="7" w:line="20" w:lineRule="exact"/>
      </w:pPr>
    </w:p>
    <w:tbl>
      <w:tblPr>
        <w:tblW w:w="0" w:type="auto"/>
        <w:tblLayout w:type="fixed"/>
        <w:tblCellMar>
          <w:left w:w="0" w:type="dxa"/>
          <w:right w:w="0" w:type="dxa"/>
        </w:tblCellMar>
        <w:tblLook w:val="04A0" w:firstRow="1" w:lastRow="0" w:firstColumn="1" w:lastColumn="0" w:noHBand="0" w:noVBand="1"/>
      </w:tblPr>
      <w:tblGrid>
        <w:gridCol w:w="2261"/>
        <w:gridCol w:w="8391"/>
      </w:tblGrid>
      <w:tr w:rsidR="00936E1A" w14:paraId="29788BD6" w14:textId="77777777">
        <w:trPr>
          <w:trHeight w:hRule="exact" w:val="677"/>
        </w:trPr>
        <w:tc>
          <w:tcPr>
            <w:tcW w:w="10652" w:type="dxa"/>
            <w:gridSpan w:val="2"/>
            <w:tcBorders>
              <w:top w:val="single" w:sz="9" w:space="0" w:color="000000"/>
              <w:left w:val="single" w:sz="9" w:space="0" w:color="000000"/>
              <w:bottom w:val="single" w:sz="9" w:space="0" w:color="000000"/>
              <w:right w:val="single" w:sz="9" w:space="0" w:color="000000"/>
            </w:tcBorders>
          </w:tcPr>
          <w:p w14:paraId="45355131" w14:textId="6D03266A" w:rsidR="00936E1A" w:rsidRDefault="00582ABC">
            <w:pPr>
              <w:spacing w:before="86" w:after="101" w:line="245" w:lineRule="exact"/>
              <w:jc w:val="center"/>
              <w:textAlignment w:val="baseline"/>
              <w:rPr>
                <w:rFonts w:ascii="Calibri" w:eastAsia="Calibri" w:hAnsi="Calibri"/>
                <w:b/>
                <w:color w:val="000000"/>
                <w:sz w:val="20"/>
              </w:rPr>
            </w:pPr>
            <w:r>
              <w:rPr>
                <w:rFonts w:ascii="Calibri" w:eastAsia="Calibri" w:hAnsi="Calibri"/>
                <w:b/>
                <w:color w:val="000000"/>
                <w:sz w:val="20"/>
              </w:rPr>
              <w:t xml:space="preserve">Farmers Bank &amp; Trust Credit Card Disclosures </w:t>
            </w:r>
            <w:r>
              <w:rPr>
                <w:rFonts w:ascii="Calibri" w:eastAsia="Calibri" w:hAnsi="Calibri"/>
                <w:b/>
                <w:color w:val="000000"/>
                <w:sz w:val="20"/>
              </w:rPr>
              <w:br/>
            </w:r>
          </w:p>
        </w:tc>
      </w:tr>
      <w:tr w:rsidR="00936E1A" w14:paraId="63FA5D15" w14:textId="77777777">
        <w:trPr>
          <w:trHeight w:hRule="exact" w:val="422"/>
        </w:trPr>
        <w:tc>
          <w:tcPr>
            <w:tcW w:w="10652" w:type="dxa"/>
            <w:gridSpan w:val="2"/>
            <w:tcBorders>
              <w:top w:val="single" w:sz="9" w:space="0" w:color="000000"/>
              <w:left w:val="single" w:sz="9" w:space="0" w:color="000000"/>
              <w:bottom w:val="single" w:sz="9" w:space="0" w:color="000000"/>
              <w:right w:val="single" w:sz="9" w:space="0" w:color="000000"/>
            </w:tcBorders>
            <w:shd w:val="clear" w:color="D9D9D9" w:fill="D9D9D9"/>
            <w:vAlign w:val="center"/>
          </w:tcPr>
          <w:p w14:paraId="10994BB7" w14:textId="77777777" w:rsidR="00936E1A" w:rsidRDefault="00582ABC">
            <w:pPr>
              <w:spacing w:before="124" w:after="91" w:line="202" w:lineRule="exact"/>
              <w:ind w:left="72"/>
              <w:textAlignment w:val="baseline"/>
              <w:rPr>
                <w:rFonts w:ascii="Calibri" w:eastAsia="Calibri" w:hAnsi="Calibri"/>
                <w:b/>
                <w:color w:val="000000"/>
                <w:sz w:val="20"/>
              </w:rPr>
            </w:pPr>
            <w:r>
              <w:rPr>
                <w:rFonts w:ascii="Calibri" w:eastAsia="Calibri" w:hAnsi="Calibri"/>
                <w:b/>
                <w:color w:val="000000"/>
                <w:sz w:val="20"/>
              </w:rPr>
              <w:t>Interest Rates and Interest Charges</w:t>
            </w:r>
          </w:p>
        </w:tc>
      </w:tr>
      <w:tr w:rsidR="00936E1A" w14:paraId="275B5F7F" w14:textId="77777777">
        <w:trPr>
          <w:trHeight w:hRule="exact" w:val="1147"/>
        </w:trPr>
        <w:tc>
          <w:tcPr>
            <w:tcW w:w="2261" w:type="dxa"/>
            <w:tcBorders>
              <w:top w:val="single" w:sz="9" w:space="0" w:color="000000"/>
              <w:left w:val="single" w:sz="9" w:space="0" w:color="000000"/>
              <w:bottom w:val="single" w:sz="9" w:space="0" w:color="000000"/>
              <w:right w:val="single" w:sz="9" w:space="0" w:color="000000"/>
            </w:tcBorders>
          </w:tcPr>
          <w:p w14:paraId="16D1D1E9" w14:textId="77777777" w:rsidR="00936E1A" w:rsidRDefault="00582ABC">
            <w:pPr>
              <w:spacing w:before="110" w:line="225" w:lineRule="exact"/>
              <w:ind w:left="72"/>
              <w:textAlignment w:val="baseline"/>
              <w:rPr>
                <w:rFonts w:eastAsia="Times New Roman"/>
                <w:b/>
                <w:color w:val="000000"/>
                <w:sz w:val="20"/>
              </w:rPr>
            </w:pPr>
            <w:r>
              <w:rPr>
                <w:rFonts w:eastAsia="Times New Roman"/>
                <w:b/>
                <w:color w:val="000000"/>
                <w:sz w:val="20"/>
              </w:rPr>
              <w:t>ANNUAL</w:t>
            </w:r>
          </w:p>
          <w:p w14:paraId="0A6EA4F9" w14:textId="77777777" w:rsidR="00936E1A" w:rsidRDefault="00582ABC">
            <w:pPr>
              <w:spacing w:after="338" w:line="230" w:lineRule="exact"/>
              <w:ind w:left="72"/>
              <w:textAlignment w:val="baseline"/>
              <w:rPr>
                <w:rFonts w:eastAsia="Times New Roman"/>
                <w:b/>
                <w:color w:val="000000"/>
                <w:sz w:val="20"/>
              </w:rPr>
            </w:pPr>
            <w:r>
              <w:rPr>
                <w:rFonts w:eastAsia="Times New Roman"/>
                <w:b/>
                <w:color w:val="000000"/>
                <w:sz w:val="20"/>
              </w:rPr>
              <w:t>PERCENTAGE RATE (APR) for Purchases</w:t>
            </w:r>
          </w:p>
        </w:tc>
        <w:tc>
          <w:tcPr>
            <w:tcW w:w="8391" w:type="dxa"/>
            <w:tcBorders>
              <w:top w:val="single" w:sz="9" w:space="0" w:color="000000"/>
              <w:left w:val="single" w:sz="9" w:space="0" w:color="000000"/>
              <w:bottom w:val="single" w:sz="9" w:space="0" w:color="000000"/>
              <w:right w:val="single" w:sz="9" w:space="0" w:color="000000"/>
            </w:tcBorders>
          </w:tcPr>
          <w:p w14:paraId="51BBA951" w14:textId="1AEC5852" w:rsidR="00936E1A" w:rsidRDefault="00582ABC">
            <w:pPr>
              <w:spacing w:before="306" w:after="67" w:line="380" w:lineRule="exact"/>
              <w:ind w:left="72" w:right="1404"/>
              <w:textAlignment w:val="baseline"/>
              <w:rPr>
                <w:rFonts w:eastAsia="Times New Roman"/>
                <w:b/>
                <w:color w:val="000000"/>
                <w:sz w:val="32"/>
              </w:rPr>
            </w:pPr>
            <w:r>
              <w:rPr>
                <w:rFonts w:eastAsia="Times New Roman"/>
                <w:b/>
                <w:color w:val="000000"/>
                <w:sz w:val="32"/>
              </w:rPr>
              <w:t xml:space="preserve">0.00% </w:t>
            </w:r>
            <w:r>
              <w:rPr>
                <w:rFonts w:eastAsia="Times New Roman"/>
                <w:color w:val="000000"/>
                <w:sz w:val="20"/>
              </w:rPr>
              <w:t xml:space="preserve">Introductory APR for the first 6 billing cycles following Account opening. After that, your APR will be </w:t>
            </w:r>
            <w:r w:rsidR="00AF2BEF">
              <w:rPr>
                <w:rFonts w:eastAsia="Times New Roman"/>
                <w:b/>
                <w:color w:val="000000"/>
                <w:sz w:val="32"/>
              </w:rPr>
              <w:t>14.99%</w:t>
            </w:r>
          </w:p>
        </w:tc>
      </w:tr>
      <w:tr w:rsidR="00936E1A" w14:paraId="33BFAF6D" w14:textId="77777777">
        <w:trPr>
          <w:trHeight w:hRule="exact" w:val="1148"/>
        </w:trPr>
        <w:tc>
          <w:tcPr>
            <w:tcW w:w="2261" w:type="dxa"/>
            <w:tcBorders>
              <w:top w:val="single" w:sz="9" w:space="0" w:color="000000"/>
              <w:left w:val="single" w:sz="9" w:space="0" w:color="000000"/>
              <w:bottom w:val="single" w:sz="9" w:space="0" w:color="000000"/>
              <w:right w:val="single" w:sz="9" w:space="0" w:color="000000"/>
            </w:tcBorders>
          </w:tcPr>
          <w:p w14:paraId="776B4128" w14:textId="77777777" w:rsidR="00936E1A" w:rsidRDefault="00582ABC">
            <w:pPr>
              <w:spacing w:before="105" w:after="573" w:line="230" w:lineRule="exact"/>
              <w:ind w:left="72"/>
              <w:textAlignment w:val="baseline"/>
              <w:rPr>
                <w:rFonts w:eastAsia="Times New Roman"/>
                <w:b/>
                <w:color w:val="000000"/>
                <w:sz w:val="20"/>
              </w:rPr>
            </w:pPr>
            <w:r>
              <w:rPr>
                <w:rFonts w:eastAsia="Times New Roman"/>
                <w:b/>
                <w:color w:val="000000"/>
                <w:sz w:val="20"/>
              </w:rPr>
              <w:t>APR for Balance Transfers</w:t>
            </w:r>
          </w:p>
        </w:tc>
        <w:tc>
          <w:tcPr>
            <w:tcW w:w="8391" w:type="dxa"/>
            <w:tcBorders>
              <w:top w:val="single" w:sz="9" w:space="0" w:color="000000"/>
              <w:left w:val="single" w:sz="9" w:space="0" w:color="000000"/>
              <w:bottom w:val="single" w:sz="9" w:space="0" w:color="000000"/>
              <w:right w:val="single" w:sz="9" w:space="0" w:color="000000"/>
            </w:tcBorders>
          </w:tcPr>
          <w:p w14:paraId="68AF9A4F" w14:textId="7647FC0C" w:rsidR="00936E1A" w:rsidRDefault="00582ABC">
            <w:pPr>
              <w:spacing w:before="302" w:after="72" w:line="382" w:lineRule="exact"/>
              <w:ind w:left="72" w:right="1404"/>
              <w:textAlignment w:val="baseline"/>
              <w:rPr>
                <w:rFonts w:eastAsia="Times New Roman"/>
                <w:b/>
                <w:color w:val="000000"/>
                <w:sz w:val="32"/>
              </w:rPr>
            </w:pPr>
            <w:r>
              <w:rPr>
                <w:rFonts w:eastAsia="Times New Roman"/>
                <w:b/>
                <w:color w:val="000000"/>
                <w:sz w:val="32"/>
              </w:rPr>
              <w:t xml:space="preserve">0.00% </w:t>
            </w:r>
            <w:r>
              <w:rPr>
                <w:rFonts w:eastAsia="Times New Roman"/>
                <w:color w:val="000000"/>
                <w:sz w:val="20"/>
              </w:rPr>
              <w:t xml:space="preserve">Introductory APR for </w:t>
            </w:r>
            <w:r w:rsidR="00AF2BEF">
              <w:rPr>
                <w:rFonts w:eastAsia="Times New Roman"/>
                <w:color w:val="000000"/>
                <w:sz w:val="20"/>
              </w:rPr>
              <w:t>6 billing cycles from the date of the balance</w:t>
            </w:r>
            <w:r>
              <w:rPr>
                <w:rFonts w:eastAsia="Times New Roman"/>
                <w:color w:val="000000"/>
                <w:sz w:val="20"/>
              </w:rPr>
              <w:t xml:space="preserve"> </w:t>
            </w:r>
            <w:r w:rsidR="00AF2BEF">
              <w:rPr>
                <w:rFonts w:eastAsia="Times New Roman"/>
                <w:color w:val="000000"/>
                <w:sz w:val="20"/>
              </w:rPr>
              <w:t xml:space="preserve">transfer.* </w:t>
            </w:r>
            <w:r>
              <w:rPr>
                <w:rFonts w:eastAsia="Times New Roman"/>
                <w:color w:val="000000"/>
                <w:sz w:val="20"/>
              </w:rPr>
              <w:t xml:space="preserve">After that, your APR will be </w:t>
            </w:r>
            <w:r w:rsidR="00AF2BEF">
              <w:rPr>
                <w:rFonts w:eastAsia="Times New Roman"/>
                <w:b/>
                <w:color w:val="000000"/>
                <w:sz w:val="32"/>
              </w:rPr>
              <w:t>14.99%</w:t>
            </w:r>
          </w:p>
        </w:tc>
      </w:tr>
      <w:tr w:rsidR="00936E1A" w14:paraId="36EB1B2C" w14:textId="77777777">
        <w:trPr>
          <w:trHeight w:hRule="exact" w:val="1008"/>
        </w:trPr>
        <w:tc>
          <w:tcPr>
            <w:tcW w:w="2261" w:type="dxa"/>
            <w:tcBorders>
              <w:top w:val="single" w:sz="9" w:space="0" w:color="000000"/>
              <w:left w:val="single" w:sz="9" w:space="0" w:color="000000"/>
              <w:bottom w:val="single" w:sz="9" w:space="0" w:color="000000"/>
              <w:right w:val="single" w:sz="9" w:space="0" w:color="000000"/>
            </w:tcBorders>
          </w:tcPr>
          <w:p w14:paraId="5BB9C38F" w14:textId="77777777" w:rsidR="00936E1A" w:rsidRDefault="00582ABC">
            <w:pPr>
              <w:spacing w:before="104" w:after="669" w:line="225" w:lineRule="exact"/>
              <w:ind w:left="92"/>
              <w:textAlignment w:val="baseline"/>
              <w:rPr>
                <w:rFonts w:eastAsia="Times New Roman"/>
                <w:b/>
                <w:color w:val="000000"/>
                <w:sz w:val="20"/>
              </w:rPr>
            </w:pPr>
            <w:r>
              <w:rPr>
                <w:rFonts w:eastAsia="Times New Roman"/>
                <w:b/>
                <w:color w:val="000000"/>
                <w:sz w:val="20"/>
              </w:rPr>
              <w:t>APR for Cash Advances</w:t>
            </w:r>
          </w:p>
        </w:tc>
        <w:tc>
          <w:tcPr>
            <w:tcW w:w="8391" w:type="dxa"/>
            <w:tcBorders>
              <w:top w:val="single" w:sz="9" w:space="0" w:color="000000"/>
              <w:left w:val="single" w:sz="9" w:space="0" w:color="000000"/>
              <w:bottom w:val="single" w:sz="9" w:space="0" w:color="000000"/>
              <w:right w:val="single" w:sz="9" w:space="0" w:color="000000"/>
            </w:tcBorders>
          </w:tcPr>
          <w:p w14:paraId="0090326C" w14:textId="77777777" w:rsidR="00936E1A" w:rsidRDefault="00582ABC">
            <w:pPr>
              <w:spacing w:before="118" w:after="519" w:line="361" w:lineRule="exact"/>
              <w:ind w:left="82"/>
              <w:textAlignment w:val="baseline"/>
              <w:rPr>
                <w:rFonts w:eastAsia="Times New Roman"/>
                <w:b/>
                <w:color w:val="000000"/>
                <w:sz w:val="32"/>
              </w:rPr>
            </w:pPr>
            <w:r>
              <w:rPr>
                <w:rFonts w:eastAsia="Times New Roman"/>
                <w:b/>
                <w:color w:val="000000"/>
                <w:sz w:val="32"/>
              </w:rPr>
              <w:t>19.99%</w:t>
            </w:r>
          </w:p>
        </w:tc>
      </w:tr>
      <w:tr w:rsidR="00936E1A" w14:paraId="0AF4EE95" w14:textId="77777777">
        <w:trPr>
          <w:trHeight w:hRule="exact" w:val="777"/>
        </w:trPr>
        <w:tc>
          <w:tcPr>
            <w:tcW w:w="2261" w:type="dxa"/>
            <w:tcBorders>
              <w:top w:val="single" w:sz="9" w:space="0" w:color="000000"/>
              <w:left w:val="single" w:sz="9" w:space="0" w:color="000000"/>
              <w:bottom w:val="single" w:sz="9" w:space="0" w:color="000000"/>
              <w:right w:val="single" w:sz="9" w:space="0" w:color="000000"/>
            </w:tcBorders>
          </w:tcPr>
          <w:p w14:paraId="747E3AD4" w14:textId="77777777" w:rsidR="00936E1A" w:rsidRDefault="00582ABC">
            <w:pPr>
              <w:spacing w:before="104" w:after="203" w:line="230" w:lineRule="exact"/>
              <w:ind w:left="72"/>
              <w:textAlignment w:val="baseline"/>
              <w:rPr>
                <w:rFonts w:eastAsia="Times New Roman"/>
                <w:b/>
                <w:color w:val="000000"/>
                <w:sz w:val="20"/>
              </w:rPr>
            </w:pPr>
            <w:r>
              <w:rPr>
                <w:rFonts w:eastAsia="Times New Roman"/>
                <w:b/>
                <w:color w:val="000000"/>
                <w:sz w:val="20"/>
              </w:rPr>
              <w:t>Penalty APR and When It Applies</w:t>
            </w:r>
          </w:p>
        </w:tc>
        <w:tc>
          <w:tcPr>
            <w:tcW w:w="8391" w:type="dxa"/>
            <w:tcBorders>
              <w:top w:val="single" w:sz="9" w:space="0" w:color="000000"/>
              <w:left w:val="single" w:sz="9" w:space="0" w:color="000000"/>
              <w:bottom w:val="single" w:sz="9" w:space="0" w:color="000000"/>
              <w:right w:val="single" w:sz="9" w:space="0" w:color="000000"/>
            </w:tcBorders>
          </w:tcPr>
          <w:p w14:paraId="29A3C623" w14:textId="77777777" w:rsidR="00936E1A" w:rsidRDefault="00582ABC">
            <w:pPr>
              <w:spacing w:before="109" w:after="433" w:line="225" w:lineRule="exact"/>
              <w:ind w:left="82"/>
              <w:textAlignment w:val="baseline"/>
              <w:rPr>
                <w:rFonts w:eastAsia="Times New Roman"/>
                <w:b/>
                <w:color w:val="000000"/>
                <w:sz w:val="20"/>
              </w:rPr>
            </w:pPr>
            <w:r>
              <w:rPr>
                <w:rFonts w:eastAsia="Times New Roman"/>
                <w:b/>
                <w:color w:val="000000"/>
                <w:sz w:val="20"/>
              </w:rPr>
              <w:t>NONE</w:t>
            </w:r>
          </w:p>
        </w:tc>
      </w:tr>
      <w:tr w:rsidR="00936E1A" w14:paraId="69BB0B90" w14:textId="77777777">
        <w:trPr>
          <w:trHeight w:hRule="exact" w:val="1023"/>
        </w:trPr>
        <w:tc>
          <w:tcPr>
            <w:tcW w:w="2261" w:type="dxa"/>
            <w:tcBorders>
              <w:top w:val="single" w:sz="9" w:space="0" w:color="000000"/>
              <w:left w:val="single" w:sz="9" w:space="0" w:color="000000"/>
              <w:bottom w:val="single" w:sz="9" w:space="0" w:color="000000"/>
              <w:right w:val="single" w:sz="9" w:space="0" w:color="000000"/>
            </w:tcBorders>
          </w:tcPr>
          <w:p w14:paraId="717170A4" w14:textId="77777777" w:rsidR="00936E1A" w:rsidRDefault="00582ABC">
            <w:pPr>
              <w:spacing w:before="105" w:after="683" w:line="225" w:lineRule="exact"/>
              <w:ind w:left="92"/>
              <w:textAlignment w:val="baseline"/>
              <w:rPr>
                <w:rFonts w:eastAsia="Times New Roman"/>
                <w:b/>
                <w:color w:val="000000"/>
                <w:sz w:val="20"/>
              </w:rPr>
            </w:pPr>
            <w:r>
              <w:rPr>
                <w:rFonts w:eastAsia="Times New Roman"/>
                <w:b/>
                <w:color w:val="000000"/>
                <w:sz w:val="20"/>
              </w:rPr>
              <w:t>Paying Interest</w:t>
            </w:r>
          </w:p>
        </w:tc>
        <w:tc>
          <w:tcPr>
            <w:tcW w:w="8391" w:type="dxa"/>
            <w:tcBorders>
              <w:top w:val="single" w:sz="9" w:space="0" w:color="000000"/>
              <w:left w:val="single" w:sz="9" w:space="0" w:color="000000"/>
              <w:bottom w:val="single" w:sz="9" w:space="0" w:color="000000"/>
              <w:right w:val="single" w:sz="9" w:space="0" w:color="000000"/>
            </w:tcBorders>
          </w:tcPr>
          <w:p w14:paraId="27FB2B5B" w14:textId="58DBFF15" w:rsidR="00936E1A" w:rsidRDefault="00582ABC">
            <w:pPr>
              <w:spacing w:before="95" w:after="228" w:line="230" w:lineRule="exact"/>
              <w:ind w:left="72" w:right="540"/>
              <w:textAlignment w:val="baseline"/>
              <w:rPr>
                <w:rFonts w:eastAsia="Times New Roman"/>
                <w:color w:val="000000"/>
                <w:sz w:val="20"/>
              </w:rPr>
            </w:pPr>
            <w:r w:rsidRPr="00582ABC">
              <w:rPr>
                <w:rFonts w:eastAsia="Times New Roman"/>
                <w:color w:val="000000"/>
                <w:sz w:val="20"/>
              </w:rPr>
              <w:t xml:space="preserve">Your due date is at least 26 days after the close of each billing cycle. We will not charge you any interest on purchases </w:t>
            </w:r>
            <w:r w:rsidR="00AF2BEF" w:rsidRPr="00582ABC">
              <w:rPr>
                <w:rFonts w:eastAsia="Times New Roman"/>
                <w:color w:val="000000"/>
                <w:sz w:val="20"/>
              </w:rPr>
              <w:t xml:space="preserve">or balance transfers </w:t>
            </w:r>
            <w:r w:rsidRPr="00582ABC">
              <w:rPr>
                <w:rFonts w:eastAsia="Times New Roman"/>
                <w:color w:val="000000"/>
                <w:sz w:val="20"/>
              </w:rPr>
              <w:t>if you pay your entire balance by the due date each month. We will begin charging interest on cash advances on the transaction posting date.</w:t>
            </w:r>
            <w:r w:rsidR="00AF2BEF" w:rsidRPr="00582ABC">
              <w:rPr>
                <w:rFonts w:eastAsia="Times New Roman"/>
                <w:color w:val="000000"/>
                <w:sz w:val="20"/>
              </w:rPr>
              <w:t xml:space="preserve"> Promotional rates may apply.</w:t>
            </w:r>
          </w:p>
        </w:tc>
      </w:tr>
      <w:tr w:rsidR="00936E1A" w14:paraId="0C362AE5" w14:textId="77777777">
        <w:trPr>
          <w:trHeight w:hRule="exact" w:val="643"/>
        </w:trPr>
        <w:tc>
          <w:tcPr>
            <w:tcW w:w="2261" w:type="dxa"/>
            <w:tcBorders>
              <w:top w:val="single" w:sz="9" w:space="0" w:color="000000"/>
              <w:left w:val="single" w:sz="9" w:space="0" w:color="000000"/>
              <w:bottom w:val="single" w:sz="9" w:space="0" w:color="000000"/>
              <w:right w:val="single" w:sz="9" w:space="0" w:color="000000"/>
            </w:tcBorders>
          </w:tcPr>
          <w:p w14:paraId="47B7746B" w14:textId="77777777" w:rsidR="00936E1A" w:rsidRDefault="00582ABC">
            <w:pPr>
              <w:spacing w:before="104" w:after="74" w:line="230" w:lineRule="exact"/>
              <w:ind w:left="72"/>
              <w:textAlignment w:val="baseline"/>
              <w:rPr>
                <w:rFonts w:eastAsia="Times New Roman"/>
                <w:b/>
                <w:color w:val="000000"/>
                <w:sz w:val="20"/>
              </w:rPr>
            </w:pPr>
            <w:r>
              <w:rPr>
                <w:rFonts w:eastAsia="Times New Roman"/>
                <w:b/>
                <w:color w:val="000000"/>
                <w:sz w:val="20"/>
              </w:rPr>
              <w:t>Minimum Interest Charge</w:t>
            </w:r>
          </w:p>
        </w:tc>
        <w:tc>
          <w:tcPr>
            <w:tcW w:w="8391" w:type="dxa"/>
            <w:tcBorders>
              <w:top w:val="single" w:sz="9" w:space="0" w:color="000000"/>
              <w:left w:val="single" w:sz="9" w:space="0" w:color="000000"/>
              <w:bottom w:val="single" w:sz="9" w:space="0" w:color="000000"/>
              <w:right w:val="single" w:sz="9" w:space="0" w:color="000000"/>
            </w:tcBorders>
          </w:tcPr>
          <w:p w14:paraId="63FA164B" w14:textId="77777777" w:rsidR="00936E1A" w:rsidRDefault="00582ABC">
            <w:pPr>
              <w:spacing w:before="104" w:after="309" w:line="225" w:lineRule="exact"/>
              <w:ind w:left="82"/>
              <w:textAlignment w:val="baseline"/>
              <w:rPr>
                <w:rFonts w:eastAsia="Times New Roman"/>
                <w:color w:val="000000"/>
                <w:sz w:val="20"/>
              </w:rPr>
            </w:pPr>
            <w:r>
              <w:rPr>
                <w:rFonts w:eastAsia="Times New Roman"/>
                <w:color w:val="000000"/>
                <w:sz w:val="20"/>
              </w:rPr>
              <w:t xml:space="preserve">If you are charged interest, the charge will be no less than </w:t>
            </w:r>
            <w:r>
              <w:rPr>
                <w:rFonts w:eastAsia="Times New Roman"/>
                <w:b/>
                <w:color w:val="000000"/>
                <w:sz w:val="20"/>
              </w:rPr>
              <w:t>$1.00</w:t>
            </w:r>
            <w:r>
              <w:rPr>
                <w:rFonts w:eastAsia="Times New Roman"/>
                <w:color w:val="000000"/>
                <w:sz w:val="20"/>
              </w:rPr>
              <w:t>.</w:t>
            </w:r>
          </w:p>
        </w:tc>
      </w:tr>
      <w:tr w:rsidR="00936E1A" w14:paraId="7C960008" w14:textId="77777777">
        <w:trPr>
          <w:trHeight w:hRule="exact" w:val="1099"/>
        </w:trPr>
        <w:tc>
          <w:tcPr>
            <w:tcW w:w="2261" w:type="dxa"/>
            <w:tcBorders>
              <w:top w:val="single" w:sz="9" w:space="0" w:color="000000"/>
              <w:left w:val="single" w:sz="9" w:space="0" w:color="000000"/>
              <w:bottom w:val="single" w:sz="9" w:space="0" w:color="000000"/>
              <w:right w:val="single" w:sz="9" w:space="0" w:color="000000"/>
            </w:tcBorders>
          </w:tcPr>
          <w:p w14:paraId="15183908" w14:textId="77777777" w:rsidR="00936E1A" w:rsidRDefault="00582ABC">
            <w:pPr>
              <w:spacing w:before="101" w:after="68" w:line="230" w:lineRule="exact"/>
              <w:ind w:left="72"/>
              <w:textAlignment w:val="baseline"/>
              <w:rPr>
                <w:rFonts w:eastAsia="Times New Roman"/>
                <w:b/>
                <w:color w:val="000000"/>
                <w:sz w:val="20"/>
              </w:rPr>
            </w:pPr>
            <w:r>
              <w:rPr>
                <w:rFonts w:eastAsia="Times New Roman"/>
                <w:b/>
                <w:color w:val="000000"/>
                <w:sz w:val="20"/>
              </w:rPr>
              <w:t>For Credit Card Tips from the Consumer Financial Protection Bureau</w:t>
            </w:r>
          </w:p>
        </w:tc>
        <w:tc>
          <w:tcPr>
            <w:tcW w:w="8391" w:type="dxa"/>
            <w:tcBorders>
              <w:top w:val="single" w:sz="9" w:space="0" w:color="000000"/>
              <w:left w:val="single" w:sz="9" w:space="0" w:color="000000"/>
              <w:bottom w:val="single" w:sz="9" w:space="0" w:color="000000"/>
              <w:right w:val="single" w:sz="9" w:space="0" w:color="000000"/>
            </w:tcBorders>
          </w:tcPr>
          <w:p w14:paraId="5D50B754" w14:textId="77777777" w:rsidR="00936E1A" w:rsidRDefault="00582ABC">
            <w:pPr>
              <w:spacing w:before="98" w:after="529" w:line="231" w:lineRule="exact"/>
              <w:ind w:left="72" w:right="108"/>
              <w:textAlignment w:val="baseline"/>
              <w:rPr>
                <w:rFonts w:eastAsia="Times New Roman"/>
                <w:b/>
                <w:color w:val="000000"/>
                <w:spacing w:val="-1"/>
                <w:sz w:val="20"/>
              </w:rPr>
            </w:pPr>
            <w:r>
              <w:rPr>
                <w:rFonts w:eastAsia="Times New Roman"/>
                <w:b/>
                <w:color w:val="000000"/>
                <w:spacing w:val="-1"/>
                <w:sz w:val="20"/>
              </w:rPr>
              <w:t xml:space="preserve">To learn more about factors to consider when applying for or using a credit card, visit the website of the Consumer Financial Protection Bureau at: </w:t>
            </w:r>
            <w:hyperlink r:id="rId6">
              <w:r>
                <w:rPr>
                  <w:rFonts w:eastAsia="Times New Roman"/>
                  <w:b/>
                  <w:color w:val="0000FF"/>
                  <w:spacing w:val="-1"/>
                  <w:sz w:val="20"/>
                  <w:u w:val="single"/>
                </w:rPr>
                <w:t>http://consumerfinance.gov/learnmore</w:t>
              </w:r>
            </w:hyperlink>
            <w:r>
              <w:rPr>
                <w:rFonts w:eastAsia="Times New Roman"/>
                <w:b/>
                <w:color w:val="000000"/>
                <w:spacing w:val="-1"/>
                <w:sz w:val="20"/>
              </w:rPr>
              <w:t xml:space="preserve"> </w:t>
            </w:r>
          </w:p>
        </w:tc>
      </w:tr>
      <w:tr w:rsidR="00936E1A" w14:paraId="1A1BB04C" w14:textId="77777777">
        <w:trPr>
          <w:trHeight w:hRule="exact" w:val="408"/>
        </w:trPr>
        <w:tc>
          <w:tcPr>
            <w:tcW w:w="10652" w:type="dxa"/>
            <w:gridSpan w:val="2"/>
            <w:tcBorders>
              <w:top w:val="single" w:sz="9" w:space="0" w:color="000000"/>
              <w:left w:val="single" w:sz="9" w:space="0" w:color="000000"/>
              <w:bottom w:val="single" w:sz="9" w:space="0" w:color="000000"/>
              <w:right w:val="single" w:sz="9" w:space="0" w:color="000000"/>
            </w:tcBorders>
            <w:shd w:val="clear" w:color="D9D9D9" w:fill="D9D9D9"/>
            <w:vAlign w:val="center"/>
          </w:tcPr>
          <w:p w14:paraId="218C300A" w14:textId="77777777" w:rsidR="00936E1A" w:rsidRDefault="00582ABC">
            <w:pPr>
              <w:spacing w:before="109" w:after="59" w:line="225" w:lineRule="exact"/>
              <w:ind w:left="92"/>
              <w:textAlignment w:val="baseline"/>
              <w:rPr>
                <w:rFonts w:eastAsia="Times New Roman"/>
                <w:b/>
                <w:color w:val="000000"/>
                <w:sz w:val="20"/>
              </w:rPr>
            </w:pPr>
            <w:r>
              <w:rPr>
                <w:rFonts w:eastAsia="Times New Roman"/>
                <w:b/>
                <w:color w:val="000000"/>
                <w:sz w:val="20"/>
              </w:rPr>
              <w:t>Fees</w:t>
            </w:r>
          </w:p>
        </w:tc>
      </w:tr>
      <w:tr w:rsidR="00936E1A" w14:paraId="74B06ED5" w14:textId="77777777">
        <w:trPr>
          <w:trHeight w:hRule="exact" w:val="413"/>
        </w:trPr>
        <w:tc>
          <w:tcPr>
            <w:tcW w:w="2261" w:type="dxa"/>
            <w:tcBorders>
              <w:top w:val="single" w:sz="9" w:space="0" w:color="000000"/>
              <w:left w:val="single" w:sz="9" w:space="0" w:color="000000"/>
              <w:bottom w:val="single" w:sz="9" w:space="0" w:color="000000"/>
              <w:right w:val="single" w:sz="9" w:space="0" w:color="000000"/>
            </w:tcBorders>
            <w:vAlign w:val="center"/>
          </w:tcPr>
          <w:p w14:paraId="33472415" w14:textId="77777777" w:rsidR="00936E1A" w:rsidRDefault="00582ABC">
            <w:pPr>
              <w:spacing w:before="109" w:after="69" w:line="225" w:lineRule="exact"/>
              <w:ind w:left="92"/>
              <w:textAlignment w:val="baseline"/>
              <w:rPr>
                <w:rFonts w:eastAsia="Times New Roman"/>
                <w:b/>
                <w:color w:val="000000"/>
                <w:sz w:val="20"/>
              </w:rPr>
            </w:pPr>
            <w:r>
              <w:rPr>
                <w:rFonts w:eastAsia="Times New Roman"/>
                <w:b/>
                <w:color w:val="000000"/>
                <w:sz w:val="20"/>
              </w:rPr>
              <w:t>Annual Fee</w:t>
            </w:r>
          </w:p>
        </w:tc>
        <w:tc>
          <w:tcPr>
            <w:tcW w:w="8391" w:type="dxa"/>
            <w:tcBorders>
              <w:top w:val="single" w:sz="9" w:space="0" w:color="000000"/>
              <w:left w:val="single" w:sz="9" w:space="0" w:color="000000"/>
              <w:bottom w:val="single" w:sz="9" w:space="0" w:color="000000"/>
              <w:right w:val="single" w:sz="9" w:space="0" w:color="000000"/>
            </w:tcBorders>
            <w:vAlign w:val="center"/>
          </w:tcPr>
          <w:p w14:paraId="4B40169D" w14:textId="77777777" w:rsidR="00936E1A" w:rsidRDefault="00582ABC">
            <w:pPr>
              <w:spacing w:before="109" w:after="69" w:line="225" w:lineRule="exact"/>
              <w:ind w:left="82"/>
              <w:textAlignment w:val="baseline"/>
              <w:rPr>
                <w:rFonts w:eastAsia="Times New Roman"/>
                <w:b/>
                <w:color w:val="000000"/>
                <w:sz w:val="20"/>
              </w:rPr>
            </w:pPr>
            <w:r>
              <w:rPr>
                <w:rFonts w:eastAsia="Times New Roman"/>
                <w:b/>
                <w:color w:val="000000"/>
                <w:sz w:val="20"/>
              </w:rPr>
              <w:t>NONE</w:t>
            </w:r>
          </w:p>
        </w:tc>
      </w:tr>
      <w:tr w:rsidR="00936E1A" w14:paraId="17670464" w14:textId="77777777">
        <w:trPr>
          <w:trHeight w:hRule="exact" w:val="1329"/>
        </w:trPr>
        <w:tc>
          <w:tcPr>
            <w:tcW w:w="2261" w:type="dxa"/>
            <w:tcBorders>
              <w:top w:val="single" w:sz="9" w:space="0" w:color="000000"/>
              <w:left w:val="single" w:sz="9" w:space="0" w:color="000000"/>
              <w:bottom w:val="single" w:sz="9" w:space="0" w:color="000000"/>
              <w:right w:val="single" w:sz="9" w:space="0" w:color="000000"/>
            </w:tcBorders>
          </w:tcPr>
          <w:p w14:paraId="2F98CD80" w14:textId="77777777" w:rsidR="00936E1A" w:rsidRDefault="00582ABC">
            <w:pPr>
              <w:spacing w:before="104" w:after="291" w:line="230" w:lineRule="exact"/>
              <w:ind w:left="72" w:right="504"/>
              <w:textAlignment w:val="baseline"/>
              <w:rPr>
                <w:rFonts w:eastAsia="Times New Roman"/>
                <w:b/>
                <w:color w:val="000000"/>
                <w:spacing w:val="-1"/>
                <w:sz w:val="20"/>
              </w:rPr>
            </w:pPr>
            <w:r>
              <w:rPr>
                <w:rFonts w:eastAsia="Times New Roman"/>
                <w:b/>
                <w:color w:val="000000"/>
                <w:spacing w:val="-1"/>
                <w:sz w:val="20"/>
              </w:rPr>
              <w:t xml:space="preserve">Transaction Fees: </w:t>
            </w:r>
            <w:r>
              <w:rPr>
                <w:rFonts w:eastAsia="Times New Roman"/>
                <w:color w:val="000000"/>
                <w:spacing w:val="-1"/>
                <w:sz w:val="20"/>
              </w:rPr>
              <w:t>Balance Transfer: Cash Advance: Foreign Transaction:</w:t>
            </w:r>
          </w:p>
        </w:tc>
        <w:tc>
          <w:tcPr>
            <w:tcW w:w="8391" w:type="dxa"/>
            <w:tcBorders>
              <w:top w:val="single" w:sz="9" w:space="0" w:color="000000"/>
              <w:left w:val="single" w:sz="9" w:space="0" w:color="000000"/>
              <w:bottom w:val="single" w:sz="9" w:space="0" w:color="000000"/>
              <w:right w:val="single" w:sz="9" w:space="0" w:color="000000"/>
            </w:tcBorders>
            <w:vAlign w:val="bottom"/>
          </w:tcPr>
          <w:p w14:paraId="1410858A" w14:textId="77777777" w:rsidR="00936E1A" w:rsidRDefault="00582ABC">
            <w:pPr>
              <w:spacing w:before="330" w:line="225" w:lineRule="exact"/>
              <w:ind w:left="72"/>
              <w:textAlignment w:val="baseline"/>
              <w:rPr>
                <w:rFonts w:eastAsia="Times New Roman"/>
                <w:color w:val="000000"/>
                <w:sz w:val="20"/>
              </w:rPr>
            </w:pPr>
            <w:r>
              <w:rPr>
                <w:rFonts w:eastAsia="Times New Roman"/>
                <w:color w:val="000000"/>
                <w:sz w:val="20"/>
              </w:rPr>
              <w:t xml:space="preserve">Either </w:t>
            </w:r>
            <w:r>
              <w:rPr>
                <w:rFonts w:eastAsia="Times New Roman"/>
                <w:b/>
                <w:color w:val="000000"/>
                <w:sz w:val="20"/>
              </w:rPr>
              <w:t xml:space="preserve">$5.00 or 3% </w:t>
            </w:r>
            <w:r>
              <w:rPr>
                <w:rFonts w:eastAsia="Times New Roman"/>
                <w:color w:val="000000"/>
                <w:sz w:val="20"/>
              </w:rPr>
              <w:t>of the amount of each transfer, whichever is greater. *</w:t>
            </w:r>
          </w:p>
          <w:p w14:paraId="58DFB109" w14:textId="77777777" w:rsidR="00936E1A" w:rsidRDefault="00582ABC">
            <w:pPr>
              <w:spacing w:before="5" w:line="225" w:lineRule="exact"/>
              <w:ind w:left="72"/>
              <w:textAlignment w:val="baseline"/>
              <w:rPr>
                <w:rFonts w:eastAsia="Times New Roman"/>
                <w:color w:val="000000"/>
                <w:sz w:val="20"/>
              </w:rPr>
            </w:pPr>
            <w:r>
              <w:rPr>
                <w:rFonts w:eastAsia="Times New Roman"/>
                <w:color w:val="000000"/>
                <w:sz w:val="20"/>
              </w:rPr>
              <w:t xml:space="preserve">Either </w:t>
            </w:r>
            <w:r>
              <w:rPr>
                <w:rFonts w:eastAsia="Times New Roman"/>
                <w:b/>
                <w:color w:val="000000"/>
                <w:sz w:val="20"/>
              </w:rPr>
              <w:t xml:space="preserve">$10.00 or 5% </w:t>
            </w:r>
            <w:r>
              <w:rPr>
                <w:rFonts w:eastAsia="Times New Roman"/>
                <w:color w:val="000000"/>
                <w:sz w:val="20"/>
              </w:rPr>
              <w:t>of the amount of each cash advance, whichever is greater.</w:t>
            </w:r>
          </w:p>
          <w:p w14:paraId="18977F10" w14:textId="77777777" w:rsidR="00936E1A" w:rsidRDefault="00582ABC">
            <w:pPr>
              <w:spacing w:before="6" w:line="225" w:lineRule="exact"/>
              <w:ind w:left="72"/>
              <w:textAlignment w:val="baseline"/>
              <w:rPr>
                <w:rFonts w:eastAsia="Times New Roman"/>
                <w:b/>
                <w:color w:val="000000"/>
                <w:sz w:val="20"/>
              </w:rPr>
            </w:pPr>
            <w:r>
              <w:rPr>
                <w:rFonts w:eastAsia="Times New Roman"/>
                <w:b/>
                <w:color w:val="000000"/>
                <w:sz w:val="20"/>
              </w:rPr>
              <w:t xml:space="preserve">3.0% </w:t>
            </w:r>
            <w:r>
              <w:rPr>
                <w:rFonts w:eastAsia="Times New Roman"/>
                <w:color w:val="000000"/>
                <w:sz w:val="20"/>
              </w:rPr>
              <w:t>of the U.S. dollar amount of each transaction made in foreign currency or made in U.S. dollars</w:t>
            </w:r>
          </w:p>
          <w:p w14:paraId="06F245A8" w14:textId="77777777" w:rsidR="00936E1A" w:rsidRDefault="00582ABC">
            <w:pPr>
              <w:spacing w:before="5" w:after="70" w:line="224" w:lineRule="exact"/>
              <w:ind w:left="72"/>
              <w:textAlignment w:val="baseline"/>
              <w:rPr>
                <w:rFonts w:eastAsia="Times New Roman"/>
                <w:color w:val="000000"/>
                <w:sz w:val="20"/>
              </w:rPr>
            </w:pPr>
            <w:r>
              <w:rPr>
                <w:rFonts w:eastAsia="Times New Roman"/>
                <w:color w:val="000000"/>
                <w:sz w:val="20"/>
              </w:rPr>
              <w:t>that is processed outside of the United States. This fee will be in addition to any applicable fee.</w:t>
            </w:r>
          </w:p>
        </w:tc>
      </w:tr>
      <w:tr w:rsidR="00936E1A" w14:paraId="4E1EC8D1" w14:textId="77777777">
        <w:trPr>
          <w:trHeight w:hRule="exact" w:val="889"/>
        </w:trPr>
        <w:tc>
          <w:tcPr>
            <w:tcW w:w="2261" w:type="dxa"/>
            <w:tcBorders>
              <w:top w:val="single" w:sz="9" w:space="0" w:color="000000"/>
              <w:left w:val="single" w:sz="9" w:space="0" w:color="000000"/>
              <w:bottom w:val="single" w:sz="9" w:space="0" w:color="000000"/>
              <w:right w:val="single" w:sz="9" w:space="0" w:color="000000"/>
            </w:tcBorders>
          </w:tcPr>
          <w:p w14:paraId="6620394E" w14:textId="77777777" w:rsidR="00936E1A" w:rsidRDefault="00582ABC">
            <w:pPr>
              <w:spacing w:before="105" w:after="84" w:line="230" w:lineRule="exact"/>
              <w:ind w:left="72"/>
              <w:textAlignment w:val="baseline"/>
              <w:rPr>
                <w:rFonts w:eastAsia="Times New Roman"/>
                <w:b/>
                <w:color w:val="000000"/>
                <w:sz w:val="20"/>
              </w:rPr>
            </w:pPr>
            <w:r>
              <w:rPr>
                <w:rFonts w:eastAsia="Times New Roman"/>
                <w:b/>
                <w:color w:val="000000"/>
                <w:sz w:val="20"/>
              </w:rPr>
              <w:t xml:space="preserve">Penalty Fees: </w:t>
            </w:r>
            <w:r>
              <w:rPr>
                <w:rFonts w:eastAsia="Times New Roman"/>
                <w:b/>
                <w:color w:val="000000"/>
                <w:sz w:val="20"/>
              </w:rPr>
              <w:br/>
            </w:r>
            <w:r>
              <w:rPr>
                <w:rFonts w:eastAsia="Times New Roman"/>
                <w:color w:val="000000"/>
                <w:sz w:val="20"/>
              </w:rPr>
              <w:t xml:space="preserve">Late Payment: </w:t>
            </w:r>
            <w:r>
              <w:rPr>
                <w:rFonts w:eastAsia="Times New Roman"/>
                <w:color w:val="000000"/>
                <w:sz w:val="20"/>
              </w:rPr>
              <w:br/>
              <w:t>Returned Payment:</w:t>
            </w:r>
          </w:p>
        </w:tc>
        <w:tc>
          <w:tcPr>
            <w:tcW w:w="8391" w:type="dxa"/>
            <w:tcBorders>
              <w:top w:val="single" w:sz="9" w:space="0" w:color="000000"/>
              <w:left w:val="single" w:sz="9" w:space="0" w:color="000000"/>
              <w:bottom w:val="single" w:sz="9" w:space="0" w:color="000000"/>
              <w:right w:val="single" w:sz="9" w:space="0" w:color="000000"/>
            </w:tcBorders>
            <w:vAlign w:val="bottom"/>
          </w:tcPr>
          <w:p w14:paraId="7D436263" w14:textId="77777777" w:rsidR="00936E1A" w:rsidRDefault="00582ABC">
            <w:pPr>
              <w:spacing w:before="340" w:line="225" w:lineRule="exact"/>
              <w:ind w:left="72"/>
              <w:textAlignment w:val="baseline"/>
              <w:rPr>
                <w:rFonts w:eastAsia="Times New Roman"/>
                <w:b/>
                <w:color w:val="000000"/>
                <w:sz w:val="20"/>
              </w:rPr>
            </w:pPr>
            <w:r>
              <w:rPr>
                <w:rFonts w:eastAsia="Times New Roman"/>
                <w:b/>
                <w:color w:val="000000"/>
                <w:sz w:val="20"/>
              </w:rPr>
              <w:t>$27.00**</w:t>
            </w:r>
          </w:p>
          <w:p w14:paraId="1D22763D" w14:textId="77777777" w:rsidR="00936E1A" w:rsidRDefault="00582ABC">
            <w:pPr>
              <w:spacing w:before="6" w:after="83" w:line="225" w:lineRule="exact"/>
              <w:ind w:left="72"/>
              <w:textAlignment w:val="baseline"/>
              <w:rPr>
                <w:rFonts w:eastAsia="Times New Roman"/>
                <w:b/>
                <w:color w:val="000000"/>
                <w:sz w:val="20"/>
              </w:rPr>
            </w:pPr>
            <w:r>
              <w:rPr>
                <w:rFonts w:eastAsia="Times New Roman"/>
                <w:b/>
                <w:color w:val="000000"/>
                <w:sz w:val="20"/>
              </w:rPr>
              <w:t>$27.00</w:t>
            </w:r>
          </w:p>
        </w:tc>
      </w:tr>
    </w:tbl>
    <w:p w14:paraId="0E0ADEC8" w14:textId="77777777" w:rsidR="00936E1A" w:rsidRDefault="00936E1A">
      <w:pPr>
        <w:spacing w:after="141" w:line="20" w:lineRule="exact"/>
      </w:pPr>
    </w:p>
    <w:p w14:paraId="521164DD" w14:textId="77777777" w:rsidR="00936E1A" w:rsidRDefault="00582ABC">
      <w:pPr>
        <w:spacing w:before="51" w:line="208" w:lineRule="exact"/>
        <w:textAlignment w:val="baseline"/>
        <w:rPr>
          <w:rFonts w:eastAsia="Times New Roman"/>
          <w:b/>
          <w:color w:val="000000"/>
          <w:sz w:val="18"/>
        </w:rPr>
      </w:pPr>
      <w:r>
        <w:rPr>
          <w:rFonts w:eastAsia="Times New Roman"/>
          <w:b/>
          <w:color w:val="000000"/>
          <w:sz w:val="18"/>
        </w:rPr>
        <w:t>How We Will Calculate Your Balance</w:t>
      </w:r>
      <w:r>
        <w:rPr>
          <w:rFonts w:eastAsia="Times New Roman"/>
          <w:color w:val="000000"/>
          <w:sz w:val="18"/>
        </w:rPr>
        <w:t>: We use a method called “average daily balance” (including new purchases).</w:t>
      </w:r>
    </w:p>
    <w:p w14:paraId="005753B2" w14:textId="77777777" w:rsidR="00936E1A" w:rsidRDefault="00582ABC">
      <w:pPr>
        <w:spacing w:before="47" w:line="208" w:lineRule="exact"/>
        <w:ind w:right="360"/>
        <w:textAlignment w:val="baseline"/>
        <w:rPr>
          <w:rFonts w:eastAsia="Times New Roman"/>
          <w:b/>
          <w:color w:val="000000"/>
          <w:sz w:val="18"/>
        </w:rPr>
      </w:pPr>
      <w:r>
        <w:rPr>
          <w:rFonts w:eastAsia="Times New Roman"/>
          <w:b/>
          <w:color w:val="000000"/>
          <w:sz w:val="18"/>
        </w:rPr>
        <w:t xml:space="preserve">Billing Rights: </w:t>
      </w:r>
      <w:r>
        <w:rPr>
          <w:rFonts w:eastAsia="Times New Roman"/>
          <w:color w:val="000000"/>
          <w:sz w:val="18"/>
        </w:rPr>
        <w:t xml:space="preserve">Information on your rights to dispute transactions and how to exercise those rights is provided in your account agreement. </w:t>
      </w:r>
      <w:r>
        <w:rPr>
          <w:rFonts w:eastAsia="Times New Roman"/>
          <w:b/>
          <w:color w:val="000000"/>
          <w:sz w:val="18"/>
        </w:rPr>
        <w:t xml:space="preserve">Loss of Introductory APR: </w:t>
      </w:r>
      <w:r>
        <w:rPr>
          <w:rFonts w:eastAsia="Times New Roman"/>
          <w:color w:val="000000"/>
          <w:sz w:val="18"/>
        </w:rPr>
        <w:t>If you make a late payment during the Introductory APR promotional period, we may end your Introductory APR for new Purchases and Balance Transfers and apply the APR in effect at that time.</w:t>
      </w:r>
    </w:p>
    <w:p w14:paraId="31328C3C" w14:textId="77777777" w:rsidR="00936E1A" w:rsidRDefault="00582ABC">
      <w:pPr>
        <w:spacing w:line="205" w:lineRule="exact"/>
        <w:ind w:right="216"/>
        <w:textAlignment w:val="baseline"/>
        <w:rPr>
          <w:rFonts w:eastAsia="Times New Roman"/>
          <w:b/>
          <w:color w:val="000000"/>
          <w:sz w:val="18"/>
        </w:rPr>
      </w:pPr>
      <w:r>
        <w:rPr>
          <w:rFonts w:eastAsia="Times New Roman"/>
          <w:b/>
          <w:color w:val="000000"/>
          <w:sz w:val="18"/>
        </w:rPr>
        <w:t xml:space="preserve">*INTRODUCTORY APR OFFER FOR BALANCE TRANSFERS: </w:t>
      </w:r>
      <w:r>
        <w:rPr>
          <w:rFonts w:eastAsia="Times New Roman"/>
          <w:color w:val="000000"/>
          <w:sz w:val="18"/>
        </w:rPr>
        <w:t>Introductory APR for balance transfer requests must be made within six (6) months of account open date and the promotional rate is good for six (6) billing periods after the balance transfer posts. Balance Transfers requested after this time will have an APR equal to the assigned purchase rate (excluding any introductory APR). The 3% transfer fee is waived during the introductory period.</w:t>
      </w:r>
    </w:p>
    <w:p w14:paraId="7B3AB8F4" w14:textId="77777777" w:rsidR="00936E1A" w:rsidRDefault="00582ABC">
      <w:pPr>
        <w:spacing w:before="2" w:line="208" w:lineRule="exact"/>
        <w:ind w:right="216"/>
        <w:textAlignment w:val="baseline"/>
        <w:rPr>
          <w:rFonts w:eastAsia="Times New Roman"/>
          <w:color w:val="000000"/>
          <w:sz w:val="18"/>
        </w:rPr>
      </w:pPr>
      <w:r>
        <w:rPr>
          <w:rFonts w:eastAsia="Times New Roman"/>
          <w:color w:val="000000"/>
          <w:sz w:val="18"/>
        </w:rPr>
        <w:t>**If your Total Minimum Payment Due is not received by your Payment Due Date, a Late Payment Fee will be assessed. However, the Late Payment Fee will not exceed the total minimum payment that was due.</w:t>
      </w:r>
    </w:p>
    <w:p w14:paraId="16D66B18" w14:textId="77777777" w:rsidR="00936E1A" w:rsidRDefault="00582ABC">
      <w:pPr>
        <w:spacing w:before="43" w:line="208" w:lineRule="exact"/>
        <w:ind w:right="216"/>
        <w:textAlignment w:val="baseline"/>
        <w:rPr>
          <w:rFonts w:eastAsia="Times New Roman"/>
          <w:color w:val="000000"/>
          <w:sz w:val="18"/>
        </w:rPr>
      </w:pPr>
      <w:r>
        <w:rPr>
          <w:rFonts w:eastAsia="Times New Roman"/>
          <w:color w:val="000000"/>
          <w:sz w:val="18"/>
        </w:rPr>
        <w:t>All account terms are governed by the Credit Card Agreement. Account and Agreement terms are not guaranteed for any period of time. In accordance with the Agreement and applicable law, we may change them based on information in your credit report, market conditions, business strategies, or for any reason.</w:t>
      </w:r>
    </w:p>
    <w:sectPr w:rsidR="00936E1A">
      <w:pgSz w:w="12240" w:h="15840"/>
      <w:pgMar w:top="520" w:right="658" w:bottom="904"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3369" w14:textId="77777777" w:rsidR="0029295F" w:rsidRDefault="00582ABC">
      <w:r>
        <w:separator/>
      </w:r>
    </w:p>
  </w:endnote>
  <w:endnote w:type="continuationSeparator" w:id="0">
    <w:p w14:paraId="3218C32D" w14:textId="77777777" w:rsidR="0029295F" w:rsidRDefault="0058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3456" w14:textId="77777777" w:rsidR="00936E1A" w:rsidRDefault="00936E1A"/>
  </w:footnote>
  <w:footnote w:type="continuationSeparator" w:id="0">
    <w:p w14:paraId="2585D7CB" w14:textId="77777777" w:rsidR="00936E1A" w:rsidRDefault="0058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1A"/>
    <w:rsid w:val="0029295F"/>
    <w:rsid w:val="002F3801"/>
    <w:rsid w:val="00582ABC"/>
    <w:rsid w:val="0063543E"/>
    <w:rsid w:val="00885F7F"/>
    <w:rsid w:val="00936E1A"/>
    <w:rsid w:val="00AF2BEF"/>
    <w:rsid w:val="00C77624"/>
    <w:rsid w:val="00E15CE6"/>
    <w:rsid w:val="00E7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4FD6"/>
  <w15:docId w15:val="{FAE6D16A-46F9-4C4D-8EC0-9835955D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umerfinance.gov/learnmor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7202</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Return Name</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Name</dc:title>
  <dc:creator>Rick Miller</dc:creator>
  <cp:lastModifiedBy>Steven Word</cp:lastModifiedBy>
  <cp:revision>6</cp:revision>
  <dcterms:created xsi:type="dcterms:W3CDTF">2022-09-20T14:28:00Z</dcterms:created>
  <dcterms:modified xsi:type="dcterms:W3CDTF">2022-09-27T13:36:00Z</dcterms:modified>
</cp:coreProperties>
</file>